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E693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BMV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146B8">
        <w:rPr>
          <w:rFonts w:ascii="Arial" w:hAnsi="Arial" w:cs="Arial"/>
          <w:b/>
          <w:sz w:val="20"/>
          <w:szCs w:val="20"/>
        </w:rPr>
        <w:t>Annual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E6936">
        <w:rPr>
          <w:rFonts w:ascii="Arial" w:hAnsi="Arial" w:cs="Arial"/>
          <w:sz w:val="20"/>
          <w:szCs w:val="20"/>
        </w:rPr>
        <w:t>29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E6936" w:rsidRPr="00BE6936">
        <w:rPr>
          <w:rFonts w:ascii="Arial" w:hAnsi="Arial" w:cs="Arial"/>
          <w:sz w:val="20"/>
          <w:szCs w:val="20"/>
        </w:rPr>
        <w:t>Vinafood</w:t>
      </w:r>
      <w:proofErr w:type="spellEnd"/>
      <w:r w:rsidR="00BE6936" w:rsidRPr="00BE6936">
        <w:rPr>
          <w:rFonts w:ascii="Arial" w:hAnsi="Arial" w:cs="Arial"/>
          <w:sz w:val="20"/>
          <w:szCs w:val="20"/>
        </w:rPr>
        <w:t xml:space="preserve"> 1 Flour Joint Stock Company</w:t>
      </w:r>
      <w:r w:rsidR="00BE693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B146B8">
        <w:rPr>
          <w:rFonts w:ascii="Arial" w:hAnsi="Arial" w:cs="Arial"/>
          <w:sz w:val="20"/>
          <w:szCs w:val="20"/>
        </w:rPr>
        <w:t xml:space="preserve">annual General Mandate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83021" w:rsidRDefault="00BE69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BE6936">
        <w:rPr>
          <w:rFonts w:ascii="Arial" w:hAnsi="Arial" w:cs="Arial"/>
          <w:sz w:val="20"/>
          <w:szCs w:val="20"/>
        </w:rPr>
        <w:t xml:space="preserve"> Approving the results of produ</w:t>
      </w:r>
      <w:r>
        <w:rPr>
          <w:rFonts w:ascii="Arial" w:hAnsi="Arial" w:cs="Arial"/>
          <w:sz w:val="20"/>
          <w:szCs w:val="20"/>
        </w:rPr>
        <w:t>ction and business activities in</w:t>
      </w:r>
      <w:r w:rsidRPr="00BE6936">
        <w:rPr>
          <w:rFonts w:ascii="Arial" w:hAnsi="Arial" w:cs="Arial"/>
          <w:sz w:val="20"/>
          <w:szCs w:val="20"/>
        </w:rPr>
        <w:t xml:space="preserve"> 2019 and the production plan for the 2020</w:t>
      </w:r>
      <w:r>
        <w:rPr>
          <w:rFonts w:ascii="Arial" w:hAnsi="Arial" w:cs="Arial"/>
          <w:sz w:val="20"/>
          <w:szCs w:val="20"/>
        </w:rPr>
        <w:t xml:space="preserve"> </w:t>
      </w:r>
      <w:r w:rsidRPr="00BE6936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983021" w:rsidRPr="00983021">
        <w:rPr>
          <w:rFonts w:ascii="Arial" w:hAnsi="Arial" w:cs="Arial"/>
          <w:sz w:val="20"/>
          <w:szCs w:val="20"/>
        </w:rPr>
        <w:t>Vinafood</w:t>
      </w:r>
      <w:proofErr w:type="spellEnd"/>
      <w:r w:rsidR="00983021" w:rsidRPr="00983021">
        <w:rPr>
          <w:rFonts w:ascii="Arial" w:hAnsi="Arial" w:cs="Arial"/>
          <w:sz w:val="20"/>
          <w:szCs w:val="20"/>
        </w:rPr>
        <w:t xml:space="preserve"> 1 Flour Joint Stock Company</w:t>
      </w:r>
    </w:p>
    <w:p w:rsidR="0077554C" w:rsidRDefault="009830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BE6936" w:rsidRPr="00BE6936">
        <w:rPr>
          <w:rFonts w:ascii="Arial" w:hAnsi="Arial" w:cs="Arial"/>
          <w:sz w:val="20"/>
          <w:szCs w:val="20"/>
        </w:rPr>
        <w:t xml:space="preserve">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="00BE6936" w:rsidRPr="00BE6936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of</w:t>
      </w:r>
      <w:r w:rsidR="00BE6936" w:rsidRPr="00BE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3021">
        <w:rPr>
          <w:rFonts w:ascii="Arial" w:hAnsi="Arial" w:cs="Arial"/>
          <w:sz w:val="20"/>
          <w:szCs w:val="20"/>
        </w:rPr>
        <w:t>Vinafood</w:t>
      </w:r>
      <w:proofErr w:type="spellEnd"/>
      <w:r w:rsidRPr="00983021">
        <w:rPr>
          <w:rFonts w:ascii="Arial" w:hAnsi="Arial" w:cs="Arial"/>
          <w:sz w:val="20"/>
          <w:szCs w:val="20"/>
        </w:rPr>
        <w:t xml:space="preserve"> 1 Flour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BE6936" w:rsidRPr="00BE6936">
        <w:rPr>
          <w:rFonts w:ascii="Arial" w:hAnsi="Arial" w:cs="Arial"/>
          <w:sz w:val="20"/>
          <w:szCs w:val="20"/>
        </w:rPr>
        <w:t xml:space="preserve">adopted the results of production and business activities of 2019 and the production </w:t>
      </w:r>
      <w:r>
        <w:rPr>
          <w:rFonts w:ascii="Arial" w:hAnsi="Arial" w:cs="Arial"/>
          <w:sz w:val="20"/>
          <w:szCs w:val="20"/>
        </w:rPr>
        <w:t xml:space="preserve">and </w:t>
      </w:r>
      <w:r w:rsidRPr="00BE6936">
        <w:rPr>
          <w:rFonts w:ascii="Arial" w:hAnsi="Arial" w:cs="Arial"/>
          <w:sz w:val="20"/>
          <w:szCs w:val="20"/>
        </w:rPr>
        <w:t xml:space="preserve">business </w:t>
      </w:r>
      <w:r>
        <w:rPr>
          <w:rFonts w:ascii="Arial" w:hAnsi="Arial" w:cs="Arial"/>
          <w:sz w:val="20"/>
          <w:szCs w:val="20"/>
        </w:rPr>
        <w:t xml:space="preserve">plan for </w:t>
      </w:r>
      <w:r w:rsidR="00BE6936" w:rsidRPr="00BE6936">
        <w:rPr>
          <w:rFonts w:ascii="Arial" w:hAnsi="Arial" w:cs="Arial"/>
          <w:sz w:val="20"/>
          <w:szCs w:val="20"/>
        </w:rPr>
        <w:t xml:space="preserve">2020 of </w:t>
      </w:r>
      <w:proofErr w:type="spellStart"/>
      <w:r w:rsidRPr="00983021">
        <w:rPr>
          <w:rFonts w:ascii="Arial" w:hAnsi="Arial" w:cs="Arial"/>
          <w:sz w:val="20"/>
          <w:szCs w:val="20"/>
        </w:rPr>
        <w:t>Vinafood</w:t>
      </w:r>
      <w:proofErr w:type="spellEnd"/>
      <w:r w:rsidRPr="00983021">
        <w:rPr>
          <w:rFonts w:ascii="Arial" w:hAnsi="Arial" w:cs="Arial"/>
          <w:sz w:val="20"/>
          <w:szCs w:val="20"/>
        </w:rPr>
        <w:t xml:space="preserve"> 1 Flour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BE6936" w:rsidRPr="00BE6936">
        <w:rPr>
          <w:rFonts w:ascii="Arial" w:hAnsi="Arial" w:cs="Arial"/>
          <w:sz w:val="20"/>
          <w:szCs w:val="20"/>
        </w:rPr>
        <w:t xml:space="preserve">with the following norms: </w:t>
      </w:r>
    </w:p>
    <w:p w:rsidR="0077554C" w:rsidRDefault="00BE69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6936">
        <w:rPr>
          <w:rFonts w:ascii="Arial" w:hAnsi="Arial" w:cs="Arial"/>
          <w:sz w:val="20"/>
          <w:szCs w:val="20"/>
        </w:rPr>
        <w:t xml:space="preserve">* Business results in 2019: </w:t>
      </w:r>
    </w:p>
    <w:p w:rsidR="00C6187F" w:rsidRDefault="00BE69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6936">
        <w:rPr>
          <w:rFonts w:ascii="Arial" w:hAnsi="Arial" w:cs="Arial"/>
          <w:sz w:val="20"/>
          <w:szCs w:val="20"/>
        </w:rPr>
        <w:t xml:space="preserve">Total </w:t>
      </w:r>
      <w:r w:rsidR="0077554C">
        <w:rPr>
          <w:rFonts w:ascii="Arial" w:hAnsi="Arial" w:cs="Arial"/>
          <w:sz w:val="20"/>
          <w:szCs w:val="20"/>
        </w:rPr>
        <w:t>purchased quantity</w:t>
      </w:r>
      <w:r w:rsidRPr="00BE6936">
        <w:rPr>
          <w:rFonts w:ascii="Arial" w:hAnsi="Arial" w:cs="Arial"/>
          <w:sz w:val="20"/>
          <w:szCs w:val="20"/>
        </w:rPr>
        <w:t xml:space="preserve">: </w:t>
      </w:r>
      <w:r w:rsidR="00C6187F">
        <w:rPr>
          <w:rFonts w:ascii="Arial" w:hAnsi="Arial" w:cs="Arial"/>
          <w:sz w:val="20"/>
          <w:szCs w:val="20"/>
        </w:rPr>
        <w:t>74,994</w:t>
      </w:r>
      <w:r w:rsidRPr="00BE6936">
        <w:rPr>
          <w:rFonts w:ascii="Arial" w:hAnsi="Arial" w:cs="Arial"/>
          <w:sz w:val="20"/>
          <w:szCs w:val="20"/>
        </w:rPr>
        <w:t xml:space="preserve"> </w:t>
      </w:r>
      <w:r w:rsidR="00C6187F">
        <w:rPr>
          <w:rFonts w:ascii="Arial" w:hAnsi="Arial" w:cs="Arial"/>
          <w:sz w:val="20"/>
          <w:szCs w:val="20"/>
        </w:rPr>
        <w:t>tons</w:t>
      </w:r>
    </w:p>
    <w:p w:rsidR="008C0E98" w:rsidRDefault="00BE693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6936">
        <w:rPr>
          <w:rFonts w:ascii="Arial" w:hAnsi="Arial" w:cs="Arial"/>
          <w:sz w:val="20"/>
          <w:szCs w:val="20"/>
        </w:rPr>
        <w:t xml:space="preserve">Total </w:t>
      </w:r>
      <w:r w:rsidR="00C6187F">
        <w:rPr>
          <w:rFonts w:ascii="Arial" w:hAnsi="Arial" w:cs="Arial"/>
          <w:sz w:val="20"/>
          <w:szCs w:val="20"/>
        </w:rPr>
        <w:t>purchased value</w:t>
      </w:r>
      <w:r w:rsidRPr="00BE6936">
        <w:rPr>
          <w:rFonts w:ascii="Arial" w:hAnsi="Arial" w:cs="Arial"/>
          <w:sz w:val="20"/>
          <w:szCs w:val="20"/>
        </w:rPr>
        <w:t>: VND</w:t>
      </w:r>
      <w:r w:rsidR="00C6187F">
        <w:rPr>
          <w:rFonts w:ascii="Arial" w:hAnsi="Arial" w:cs="Arial"/>
          <w:sz w:val="20"/>
          <w:szCs w:val="20"/>
        </w:rPr>
        <w:t xml:space="preserve"> 5</w:t>
      </w:r>
      <w:r w:rsidRPr="00BE6936">
        <w:rPr>
          <w:rFonts w:ascii="Arial" w:hAnsi="Arial" w:cs="Arial"/>
          <w:sz w:val="20"/>
          <w:szCs w:val="20"/>
        </w:rPr>
        <w:t>28,</w:t>
      </w:r>
      <w:r w:rsidR="008C0E98">
        <w:rPr>
          <w:rFonts w:ascii="Arial" w:hAnsi="Arial" w:cs="Arial"/>
          <w:sz w:val="20"/>
          <w:szCs w:val="20"/>
        </w:rPr>
        <w:t>756</w:t>
      </w:r>
      <w:r w:rsidRPr="00BE6936">
        <w:rPr>
          <w:rFonts w:ascii="Arial" w:hAnsi="Arial" w:cs="Arial"/>
          <w:sz w:val="20"/>
          <w:szCs w:val="20"/>
        </w:rPr>
        <w:t xml:space="preserve"> million </w:t>
      </w:r>
    </w:p>
    <w:p w:rsidR="008C0E98" w:rsidRDefault="008C0E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quantity sold: 78,23</w:t>
      </w:r>
      <w:r w:rsidR="006F34C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tons</w:t>
      </w:r>
    </w:p>
    <w:p w:rsidR="00BE6936" w:rsidRDefault="009216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revenue: VND 613,590 million</w:t>
      </w:r>
    </w:p>
    <w:p w:rsidR="00921672" w:rsidRDefault="009216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before tax: VND 2,488 million</w:t>
      </w:r>
    </w:p>
    <w:p w:rsidR="00921672" w:rsidRDefault="009216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Contributing to the State's budget: VND 39,737 million</w:t>
      </w:r>
    </w:p>
    <w:p w:rsidR="00921672" w:rsidRDefault="009216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Operation plan for 2020:</w:t>
      </w:r>
    </w:p>
    <w:p w:rsidR="00921672" w:rsidRDefault="00921672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6936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purchased quantity</w:t>
      </w:r>
      <w:r w:rsidRPr="00BE6936">
        <w:rPr>
          <w:rFonts w:ascii="Arial" w:hAnsi="Arial" w:cs="Arial"/>
          <w:sz w:val="20"/>
          <w:szCs w:val="20"/>
        </w:rPr>
        <w:t xml:space="preserve">: </w:t>
      </w:r>
      <w:r w:rsidR="005E16C6">
        <w:rPr>
          <w:rFonts w:ascii="Arial" w:hAnsi="Arial" w:cs="Arial"/>
          <w:sz w:val="20"/>
          <w:szCs w:val="20"/>
        </w:rPr>
        <w:t>71,000</w:t>
      </w:r>
      <w:r w:rsidRPr="00BE69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tons</w:t>
      </w:r>
    </w:p>
    <w:p w:rsidR="00921672" w:rsidRDefault="00921672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6936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purchased value</w:t>
      </w:r>
      <w:r w:rsidRPr="00BE6936">
        <w:rPr>
          <w:rFonts w:ascii="Arial" w:hAnsi="Arial" w:cs="Arial"/>
          <w:sz w:val="20"/>
          <w:szCs w:val="20"/>
        </w:rPr>
        <w:t>: VND</w:t>
      </w:r>
      <w:r>
        <w:rPr>
          <w:rFonts w:ascii="Arial" w:hAnsi="Arial" w:cs="Arial"/>
          <w:sz w:val="20"/>
          <w:szCs w:val="20"/>
        </w:rPr>
        <w:t xml:space="preserve"> </w:t>
      </w:r>
      <w:r w:rsidR="005E16C6">
        <w:rPr>
          <w:rFonts w:ascii="Arial" w:hAnsi="Arial" w:cs="Arial"/>
          <w:sz w:val="20"/>
          <w:szCs w:val="20"/>
        </w:rPr>
        <w:t>495,800</w:t>
      </w:r>
      <w:r w:rsidRPr="00BE6936">
        <w:rPr>
          <w:rFonts w:ascii="Arial" w:hAnsi="Arial" w:cs="Arial"/>
          <w:sz w:val="20"/>
          <w:szCs w:val="20"/>
        </w:rPr>
        <w:t xml:space="preserve"> million </w:t>
      </w:r>
    </w:p>
    <w:p w:rsidR="00921672" w:rsidRDefault="00921672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quantity sold: </w:t>
      </w:r>
      <w:r w:rsidR="005E16C6">
        <w:rPr>
          <w:rFonts w:ascii="Arial" w:hAnsi="Arial" w:cs="Arial"/>
          <w:sz w:val="20"/>
          <w:szCs w:val="20"/>
        </w:rPr>
        <w:t>71,000</w:t>
      </w:r>
      <w:r>
        <w:rPr>
          <w:rFonts w:ascii="Arial" w:hAnsi="Arial" w:cs="Arial"/>
          <w:sz w:val="20"/>
          <w:szCs w:val="20"/>
        </w:rPr>
        <w:t xml:space="preserve"> tons</w:t>
      </w:r>
    </w:p>
    <w:p w:rsidR="00921672" w:rsidRDefault="00921672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revenue: VND </w:t>
      </w:r>
      <w:r w:rsidR="005E16C6">
        <w:rPr>
          <w:rFonts w:ascii="Arial" w:hAnsi="Arial" w:cs="Arial"/>
          <w:sz w:val="20"/>
          <w:szCs w:val="20"/>
        </w:rPr>
        <w:t>562,700</w:t>
      </w:r>
      <w:r>
        <w:rPr>
          <w:rFonts w:ascii="Arial" w:hAnsi="Arial" w:cs="Arial"/>
          <w:sz w:val="20"/>
          <w:szCs w:val="20"/>
        </w:rPr>
        <w:t xml:space="preserve"> million</w:t>
      </w:r>
    </w:p>
    <w:p w:rsidR="005E16C6" w:rsidRDefault="005E16C6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tax: VND 2,900 million</w:t>
      </w:r>
    </w:p>
    <w:p w:rsidR="00921672" w:rsidRDefault="00921672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Contributing to the State's budget: VND </w:t>
      </w:r>
      <w:r w:rsidR="005E16C6">
        <w:rPr>
          <w:rFonts w:ascii="Arial" w:hAnsi="Arial" w:cs="Arial"/>
          <w:sz w:val="20"/>
          <w:szCs w:val="20"/>
        </w:rPr>
        <w:t>40,395</w:t>
      </w:r>
      <w:r>
        <w:rPr>
          <w:rFonts w:ascii="Arial" w:hAnsi="Arial" w:cs="Arial"/>
          <w:sz w:val="20"/>
          <w:szCs w:val="20"/>
        </w:rPr>
        <w:t xml:space="preserve"> million</w:t>
      </w:r>
    </w:p>
    <w:p w:rsidR="005E16C6" w:rsidRDefault="005E16C6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Average income of employees: VND 7.5 million/ person/ month</w:t>
      </w:r>
    </w:p>
    <w:p w:rsidR="005E16C6" w:rsidRDefault="005E16C6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Dividend payment (expected at 50% of profit after tax): VND 1,450 million</w:t>
      </w:r>
    </w:p>
    <w:p w:rsidR="006B6759" w:rsidRDefault="007578C1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7578C1">
        <w:rPr>
          <w:rFonts w:ascii="Arial" w:hAnsi="Arial" w:cs="Arial"/>
          <w:sz w:val="20"/>
          <w:szCs w:val="20"/>
        </w:rPr>
        <w:t xml:space="preserve"> Approving the results of corporate management </w:t>
      </w:r>
      <w:r>
        <w:rPr>
          <w:rFonts w:ascii="Arial" w:hAnsi="Arial" w:cs="Arial"/>
          <w:sz w:val="20"/>
          <w:szCs w:val="20"/>
        </w:rPr>
        <w:t>in 2019, direction and duties in</w:t>
      </w:r>
      <w:r w:rsidRPr="007578C1">
        <w:rPr>
          <w:rFonts w:ascii="Arial" w:hAnsi="Arial" w:cs="Arial"/>
          <w:sz w:val="20"/>
          <w:szCs w:val="20"/>
        </w:rPr>
        <w:t xml:space="preserve"> 2020 of the </w:t>
      </w:r>
      <w:r w:rsidR="006B6759">
        <w:rPr>
          <w:rFonts w:ascii="Arial" w:hAnsi="Arial" w:cs="Arial"/>
          <w:sz w:val="20"/>
          <w:szCs w:val="20"/>
        </w:rPr>
        <w:t>Board of Directors of the Company</w:t>
      </w:r>
    </w:p>
    <w:p w:rsidR="00A13476" w:rsidRDefault="006B6759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</w:t>
      </w:r>
      <w:r w:rsidR="007578C1" w:rsidRPr="007578C1">
        <w:rPr>
          <w:rFonts w:ascii="Arial" w:hAnsi="Arial" w:cs="Arial"/>
          <w:sz w:val="20"/>
          <w:szCs w:val="20"/>
        </w:rPr>
        <w:t xml:space="preserve">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="007578C1" w:rsidRPr="007578C1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B6759">
        <w:rPr>
          <w:rFonts w:ascii="Arial" w:hAnsi="Arial" w:cs="Arial"/>
          <w:sz w:val="20"/>
          <w:szCs w:val="20"/>
        </w:rPr>
        <w:t>Vinafood</w:t>
      </w:r>
      <w:proofErr w:type="spellEnd"/>
      <w:r w:rsidRPr="006B6759">
        <w:rPr>
          <w:rFonts w:ascii="Arial" w:hAnsi="Arial" w:cs="Arial"/>
          <w:sz w:val="20"/>
          <w:szCs w:val="20"/>
        </w:rPr>
        <w:t xml:space="preserve"> 1 Flour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7578C1" w:rsidRPr="007578C1">
        <w:rPr>
          <w:rFonts w:ascii="Arial" w:hAnsi="Arial" w:cs="Arial"/>
          <w:sz w:val="20"/>
          <w:szCs w:val="20"/>
        </w:rPr>
        <w:t xml:space="preserve">adopted the results of the </w:t>
      </w:r>
      <w:r>
        <w:rPr>
          <w:rFonts w:ascii="Arial" w:hAnsi="Arial" w:cs="Arial"/>
          <w:sz w:val="20"/>
          <w:szCs w:val="20"/>
        </w:rPr>
        <w:t xml:space="preserve">company </w:t>
      </w:r>
      <w:r w:rsidR="007578C1" w:rsidRPr="007578C1">
        <w:rPr>
          <w:rFonts w:ascii="Arial" w:hAnsi="Arial" w:cs="Arial"/>
          <w:sz w:val="20"/>
          <w:szCs w:val="20"/>
        </w:rPr>
        <w:t xml:space="preserve">management </w:t>
      </w:r>
      <w:r>
        <w:rPr>
          <w:rFonts w:ascii="Arial" w:hAnsi="Arial" w:cs="Arial"/>
          <w:sz w:val="20"/>
          <w:szCs w:val="20"/>
        </w:rPr>
        <w:t>in 2019, direction and duties in</w:t>
      </w:r>
      <w:r w:rsidR="007578C1" w:rsidRPr="007578C1">
        <w:rPr>
          <w:rFonts w:ascii="Arial" w:hAnsi="Arial" w:cs="Arial"/>
          <w:sz w:val="20"/>
          <w:szCs w:val="20"/>
        </w:rPr>
        <w:t xml:space="preserve"> 2020 of the Board of Directors </w:t>
      </w:r>
    </w:p>
    <w:p w:rsidR="009D1B7D" w:rsidRDefault="00A13476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7578C1" w:rsidRPr="007578C1">
        <w:rPr>
          <w:rFonts w:ascii="Arial" w:hAnsi="Arial" w:cs="Arial"/>
          <w:sz w:val="20"/>
          <w:szCs w:val="20"/>
        </w:rPr>
        <w:t xml:space="preserve"> Approval of the </w:t>
      </w:r>
      <w:r w:rsidR="009D1B7D">
        <w:rPr>
          <w:rFonts w:ascii="Arial" w:hAnsi="Arial" w:cs="Arial"/>
          <w:sz w:val="20"/>
          <w:szCs w:val="20"/>
        </w:rPr>
        <w:t>audited financial statement of 2019</w:t>
      </w:r>
    </w:p>
    <w:p w:rsidR="00093EEB" w:rsidRDefault="007578C1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8C1">
        <w:rPr>
          <w:rFonts w:ascii="Arial" w:hAnsi="Arial" w:cs="Arial"/>
          <w:sz w:val="20"/>
          <w:szCs w:val="20"/>
        </w:rPr>
        <w:t xml:space="preserve">The </w:t>
      </w:r>
      <w:r w:rsidR="009D1B7D">
        <w:rPr>
          <w:rFonts w:ascii="Arial" w:hAnsi="Arial" w:cs="Arial"/>
          <w:sz w:val="20"/>
          <w:szCs w:val="20"/>
        </w:rPr>
        <w:t>f</w:t>
      </w:r>
      <w:r w:rsidR="00093EEB">
        <w:rPr>
          <w:rFonts w:ascii="Arial" w:hAnsi="Arial" w:cs="Arial"/>
          <w:sz w:val="20"/>
          <w:szCs w:val="20"/>
        </w:rPr>
        <w:t>inancial statement of 2019</w:t>
      </w:r>
      <w:r w:rsidRPr="007578C1">
        <w:rPr>
          <w:rFonts w:ascii="Arial" w:hAnsi="Arial" w:cs="Arial"/>
          <w:sz w:val="20"/>
          <w:szCs w:val="20"/>
        </w:rPr>
        <w:t xml:space="preserve"> audited by </w:t>
      </w:r>
      <w:proofErr w:type="gramStart"/>
      <w:r w:rsidRPr="007578C1">
        <w:rPr>
          <w:rFonts w:ascii="Arial" w:hAnsi="Arial" w:cs="Arial"/>
          <w:sz w:val="20"/>
          <w:szCs w:val="20"/>
        </w:rPr>
        <w:t>An</w:t>
      </w:r>
      <w:proofErr w:type="gramEnd"/>
      <w:r w:rsidRPr="007578C1">
        <w:rPr>
          <w:rFonts w:ascii="Arial" w:hAnsi="Arial" w:cs="Arial"/>
          <w:sz w:val="20"/>
          <w:szCs w:val="20"/>
        </w:rPr>
        <w:t xml:space="preserve"> Viet Auditing Co., Ltd. with the following financial </w:t>
      </w:r>
      <w:r w:rsidR="00093EEB">
        <w:rPr>
          <w:rFonts w:ascii="Arial" w:hAnsi="Arial" w:cs="Arial"/>
          <w:sz w:val="20"/>
          <w:szCs w:val="20"/>
        </w:rPr>
        <w:t>indicators</w:t>
      </w:r>
      <w:r w:rsidRPr="007578C1">
        <w:rPr>
          <w:rFonts w:ascii="Arial" w:hAnsi="Arial" w:cs="Arial"/>
          <w:sz w:val="20"/>
          <w:szCs w:val="20"/>
        </w:rPr>
        <w:t xml:space="preserve">: </w:t>
      </w:r>
    </w:p>
    <w:p w:rsidR="00093EEB" w:rsidRDefault="007578C1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8C1">
        <w:rPr>
          <w:rFonts w:ascii="Arial" w:hAnsi="Arial" w:cs="Arial"/>
          <w:sz w:val="20"/>
          <w:szCs w:val="20"/>
        </w:rPr>
        <w:t xml:space="preserve">Short-term assets: </w:t>
      </w:r>
      <w:r w:rsidR="00093EEB">
        <w:rPr>
          <w:rFonts w:ascii="Arial" w:hAnsi="Arial" w:cs="Arial"/>
          <w:sz w:val="20"/>
          <w:szCs w:val="20"/>
        </w:rPr>
        <w:t xml:space="preserve">VND </w:t>
      </w:r>
      <w:r w:rsidRPr="007578C1">
        <w:rPr>
          <w:rFonts w:ascii="Arial" w:hAnsi="Arial" w:cs="Arial"/>
          <w:sz w:val="20"/>
          <w:szCs w:val="20"/>
        </w:rPr>
        <w:t>233</w:t>
      </w:r>
      <w:r w:rsidR="00093EEB">
        <w:rPr>
          <w:rFonts w:ascii="Arial" w:hAnsi="Arial" w:cs="Arial"/>
          <w:sz w:val="20"/>
          <w:szCs w:val="20"/>
        </w:rPr>
        <w:t>,</w:t>
      </w:r>
      <w:r w:rsidRPr="007578C1">
        <w:rPr>
          <w:rFonts w:ascii="Arial" w:hAnsi="Arial" w:cs="Arial"/>
          <w:sz w:val="20"/>
          <w:szCs w:val="20"/>
        </w:rPr>
        <w:t xml:space="preserve">341,065,711 </w:t>
      </w:r>
    </w:p>
    <w:p w:rsidR="00093EEB" w:rsidRDefault="007578C1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8C1">
        <w:rPr>
          <w:rFonts w:ascii="Arial" w:hAnsi="Arial" w:cs="Arial"/>
          <w:sz w:val="20"/>
          <w:szCs w:val="20"/>
        </w:rPr>
        <w:t xml:space="preserve">Long-term assets: </w:t>
      </w:r>
      <w:r w:rsidR="00093EEB">
        <w:rPr>
          <w:rFonts w:ascii="Arial" w:hAnsi="Arial" w:cs="Arial"/>
          <w:sz w:val="20"/>
          <w:szCs w:val="20"/>
        </w:rPr>
        <w:t xml:space="preserve">VND </w:t>
      </w:r>
      <w:r w:rsidRPr="007578C1">
        <w:rPr>
          <w:rFonts w:ascii="Arial" w:hAnsi="Arial" w:cs="Arial"/>
          <w:sz w:val="20"/>
          <w:szCs w:val="20"/>
        </w:rPr>
        <w:t>135</w:t>
      </w:r>
      <w:r w:rsidR="00093EEB">
        <w:rPr>
          <w:rFonts w:ascii="Arial" w:hAnsi="Arial" w:cs="Arial"/>
          <w:sz w:val="20"/>
          <w:szCs w:val="20"/>
        </w:rPr>
        <w:t>,</w:t>
      </w:r>
      <w:r w:rsidRPr="007578C1">
        <w:rPr>
          <w:rFonts w:ascii="Arial" w:hAnsi="Arial" w:cs="Arial"/>
          <w:sz w:val="20"/>
          <w:szCs w:val="20"/>
        </w:rPr>
        <w:t>928</w:t>
      </w:r>
      <w:r w:rsidR="00093EEB">
        <w:rPr>
          <w:rFonts w:ascii="Arial" w:hAnsi="Arial" w:cs="Arial"/>
          <w:sz w:val="20"/>
          <w:szCs w:val="20"/>
        </w:rPr>
        <w:t>,</w:t>
      </w:r>
      <w:r w:rsidRPr="007578C1">
        <w:rPr>
          <w:rFonts w:ascii="Arial" w:hAnsi="Arial" w:cs="Arial"/>
          <w:sz w:val="20"/>
          <w:szCs w:val="20"/>
        </w:rPr>
        <w:t>030</w:t>
      </w:r>
      <w:r w:rsidR="00093EEB">
        <w:rPr>
          <w:rFonts w:ascii="Arial" w:hAnsi="Arial" w:cs="Arial"/>
          <w:sz w:val="20"/>
          <w:szCs w:val="20"/>
        </w:rPr>
        <w:t>,</w:t>
      </w:r>
      <w:r w:rsidRPr="007578C1">
        <w:rPr>
          <w:rFonts w:ascii="Arial" w:hAnsi="Arial" w:cs="Arial"/>
          <w:sz w:val="20"/>
          <w:szCs w:val="20"/>
        </w:rPr>
        <w:t xml:space="preserve">343 </w:t>
      </w:r>
    </w:p>
    <w:p w:rsidR="00093EEB" w:rsidRDefault="00563ACE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Payable debt</w:t>
      </w:r>
      <w:r w:rsidR="007578C1" w:rsidRPr="007578C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="007578C1" w:rsidRPr="007578C1">
        <w:rPr>
          <w:rFonts w:ascii="Arial" w:hAnsi="Arial" w:cs="Arial"/>
          <w:sz w:val="20"/>
          <w:szCs w:val="20"/>
        </w:rPr>
        <w:t xml:space="preserve">125,594,842,603 </w:t>
      </w:r>
    </w:p>
    <w:p w:rsidR="00093EEB" w:rsidRDefault="00563ACE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Owner's equity</w:t>
      </w:r>
      <w:r w:rsidR="007578C1" w:rsidRPr="007578C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="007578C1" w:rsidRPr="007578C1">
        <w:rPr>
          <w:rFonts w:ascii="Arial" w:hAnsi="Arial" w:cs="Arial"/>
          <w:sz w:val="20"/>
          <w:szCs w:val="20"/>
        </w:rPr>
        <w:t>243</w:t>
      </w:r>
      <w:r w:rsidR="00093EEB">
        <w:rPr>
          <w:rFonts w:ascii="Arial" w:hAnsi="Arial" w:cs="Arial"/>
          <w:sz w:val="20"/>
          <w:szCs w:val="20"/>
        </w:rPr>
        <w:t>,</w:t>
      </w:r>
      <w:r w:rsidR="007578C1" w:rsidRPr="007578C1">
        <w:rPr>
          <w:rFonts w:ascii="Arial" w:hAnsi="Arial" w:cs="Arial"/>
          <w:sz w:val="20"/>
          <w:szCs w:val="20"/>
        </w:rPr>
        <w:t>674</w:t>
      </w:r>
      <w:r w:rsidR="00093EEB">
        <w:rPr>
          <w:rFonts w:ascii="Arial" w:hAnsi="Arial" w:cs="Arial"/>
          <w:sz w:val="20"/>
          <w:szCs w:val="20"/>
        </w:rPr>
        <w:t>,</w:t>
      </w:r>
      <w:r w:rsidR="007578C1" w:rsidRPr="007578C1">
        <w:rPr>
          <w:rFonts w:ascii="Arial" w:hAnsi="Arial" w:cs="Arial"/>
          <w:sz w:val="20"/>
          <w:szCs w:val="20"/>
        </w:rPr>
        <w:t>253</w:t>
      </w:r>
      <w:r w:rsidR="00093EEB">
        <w:rPr>
          <w:rFonts w:ascii="Arial" w:hAnsi="Arial" w:cs="Arial"/>
          <w:sz w:val="20"/>
          <w:szCs w:val="20"/>
        </w:rPr>
        <w:t>,</w:t>
      </w:r>
      <w:r w:rsidR="007578C1" w:rsidRPr="007578C1">
        <w:rPr>
          <w:rFonts w:ascii="Arial" w:hAnsi="Arial" w:cs="Arial"/>
          <w:sz w:val="20"/>
          <w:szCs w:val="20"/>
        </w:rPr>
        <w:t xml:space="preserve">451 </w:t>
      </w:r>
    </w:p>
    <w:p w:rsidR="00093EEB" w:rsidRDefault="007578C1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8C1">
        <w:rPr>
          <w:rFonts w:ascii="Arial" w:hAnsi="Arial" w:cs="Arial"/>
          <w:sz w:val="20"/>
          <w:szCs w:val="20"/>
        </w:rPr>
        <w:t xml:space="preserve">Total </w:t>
      </w:r>
      <w:r w:rsidR="00563ACE">
        <w:rPr>
          <w:rFonts w:ascii="Arial" w:hAnsi="Arial" w:cs="Arial"/>
          <w:sz w:val="20"/>
          <w:szCs w:val="20"/>
        </w:rPr>
        <w:t>remuneration</w:t>
      </w:r>
      <w:r w:rsidRPr="007578C1">
        <w:rPr>
          <w:rFonts w:ascii="Arial" w:hAnsi="Arial" w:cs="Arial"/>
          <w:sz w:val="20"/>
          <w:szCs w:val="20"/>
        </w:rPr>
        <w:t xml:space="preserve">: </w:t>
      </w:r>
      <w:r w:rsidR="00563ACE">
        <w:rPr>
          <w:rFonts w:ascii="Arial" w:hAnsi="Arial" w:cs="Arial"/>
          <w:sz w:val="20"/>
          <w:szCs w:val="20"/>
        </w:rPr>
        <w:t xml:space="preserve">VND </w:t>
      </w:r>
      <w:r w:rsidRPr="007578C1">
        <w:rPr>
          <w:rFonts w:ascii="Arial" w:hAnsi="Arial" w:cs="Arial"/>
          <w:sz w:val="20"/>
          <w:szCs w:val="20"/>
        </w:rPr>
        <w:t>613</w:t>
      </w:r>
      <w:r w:rsidR="00093EEB">
        <w:rPr>
          <w:rFonts w:ascii="Arial" w:hAnsi="Arial" w:cs="Arial"/>
          <w:sz w:val="20"/>
          <w:szCs w:val="20"/>
        </w:rPr>
        <w:t>,</w:t>
      </w:r>
      <w:r w:rsidRPr="007578C1">
        <w:rPr>
          <w:rFonts w:ascii="Arial" w:hAnsi="Arial" w:cs="Arial"/>
          <w:sz w:val="20"/>
          <w:szCs w:val="20"/>
        </w:rPr>
        <w:t>590</w:t>
      </w:r>
      <w:r w:rsidR="00093EEB">
        <w:rPr>
          <w:rFonts w:ascii="Arial" w:hAnsi="Arial" w:cs="Arial"/>
          <w:sz w:val="20"/>
          <w:szCs w:val="20"/>
        </w:rPr>
        <w:t>,</w:t>
      </w:r>
      <w:r w:rsidRPr="007578C1">
        <w:rPr>
          <w:rFonts w:ascii="Arial" w:hAnsi="Arial" w:cs="Arial"/>
          <w:sz w:val="20"/>
          <w:szCs w:val="20"/>
        </w:rPr>
        <w:t>014</w:t>
      </w:r>
      <w:r w:rsidR="00093EEB">
        <w:rPr>
          <w:rFonts w:ascii="Arial" w:hAnsi="Arial" w:cs="Arial"/>
          <w:sz w:val="20"/>
          <w:szCs w:val="20"/>
        </w:rPr>
        <w:t>,</w:t>
      </w:r>
      <w:r w:rsidRPr="007578C1">
        <w:rPr>
          <w:rFonts w:ascii="Arial" w:hAnsi="Arial" w:cs="Arial"/>
          <w:sz w:val="20"/>
          <w:szCs w:val="20"/>
        </w:rPr>
        <w:t xml:space="preserve">301 </w:t>
      </w:r>
    </w:p>
    <w:p w:rsidR="00093EEB" w:rsidRDefault="00563ACE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before tax</w:t>
      </w:r>
      <w:r w:rsidR="007578C1" w:rsidRPr="007578C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="007578C1" w:rsidRPr="007578C1">
        <w:rPr>
          <w:rFonts w:ascii="Arial" w:hAnsi="Arial" w:cs="Arial"/>
          <w:sz w:val="20"/>
          <w:szCs w:val="20"/>
        </w:rPr>
        <w:t xml:space="preserve">2,488,188,708 </w:t>
      </w:r>
    </w:p>
    <w:p w:rsidR="005E16C6" w:rsidRDefault="007B56CB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after tax</w:t>
      </w:r>
      <w:r w:rsidR="007578C1" w:rsidRPr="007578C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="007578C1" w:rsidRPr="007578C1">
        <w:rPr>
          <w:rFonts w:ascii="Arial" w:hAnsi="Arial" w:cs="Arial"/>
          <w:sz w:val="20"/>
          <w:szCs w:val="20"/>
        </w:rPr>
        <w:t>1,577,971,645</w:t>
      </w:r>
    </w:p>
    <w:p w:rsidR="006C508D" w:rsidRDefault="007B56CB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7B56CB">
        <w:rPr>
          <w:rFonts w:ascii="Arial" w:hAnsi="Arial" w:cs="Arial"/>
          <w:sz w:val="20"/>
          <w:szCs w:val="20"/>
        </w:rPr>
        <w:t xml:space="preserve"> Approve the </w:t>
      </w:r>
      <w:r>
        <w:rPr>
          <w:rFonts w:ascii="Arial" w:hAnsi="Arial" w:cs="Arial"/>
          <w:sz w:val="20"/>
          <w:szCs w:val="20"/>
        </w:rPr>
        <w:t>2019 report of the Supervisory Board</w:t>
      </w:r>
      <w:r w:rsidRPr="007B56C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The </w:t>
      </w:r>
      <w:r w:rsidRPr="007B56CB">
        <w:rPr>
          <w:rFonts w:ascii="Arial" w:hAnsi="Arial" w:cs="Arial"/>
          <w:sz w:val="20"/>
          <w:szCs w:val="20"/>
        </w:rPr>
        <w:t xml:space="preserve">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7B56CB">
        <w:rPr>
          <w:rFonts w:ascii="Arial" w:hAnsi="Arial" w:cs="Arial"/>
          <w:sz w:val="20"/>
          <w:szCs w:val="20"/>
        </w:rPr>
        <w:t>Vinafood</w:t>
      </w:r>
      <w:proofErr w:type="spellEnd"/>
      <w:r w:rsidRPr="007B56CB">
        <w:rPr>
          <w:rFonts w:ascii="Arial" w:hAnsi="Arial" w:cs="Arial"/>
          <w:sz w:val="20"/>
          <w:szCs w:val="20"/>
        </w:rPr>
        <w:t xml:space="preserve"> 1 Flour Joint Stock Company approved the</w:t>
      </w:r>
      <w:r w:rsidR="006C508D">
        <w:rPr>
          <w:rFonts w:ascii="Arial" w:hAnsi="Arial" w:cs="Arial"/>
          <w:sz w:val="20"/>
          <w:szCs w:val="20"/>
        </w:rPr>
        <w:t xml:space="preserve"> 2019</w:t>
      </w:r>
      <w:r w:rsidRPr="007B56CB">
        <w:rPr>
          <w:rFonts w:ascii="Arial" w:hAnsi="Arial" w:cs="Arial"/>
          <w:sz w:val="20"/>
          <w:szCs w:val="20"/>
        </w:rPr>
        <w:t xml:space="preserve"> report of the Supervisory Board </w:t>
      </w:r>
    </w:p>
    <w:p w:rsidR="007F6E93" w:rsidRDefault="007B56CB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6CB">
        <w:rPr>
          <w:rFonts w:ascii="Arial" w:hAnsi="Arial" w:cs="Arial"/>
          <w:sz w:val="20"/>
          <w:szCs w:val="20"/>
        </w:rPr>
        <w:t>Article 5. Approving the settlement of remuneration of the Board of Directors and the Supervisory Board</w:t>
      </w:r>
      <w:r w:rsidR="007F6E93">
        <w:rPr>
          <w:rFonts w:ascii="Arial" w:hAnsi="Arial" w:cs="Arial"/>
          <w:sz w:val="20"/>
          <w:szCs w:val="20"/>
        </w:rPr>
        <w:t xml:space="preserve"> in 2019 and the plan on</w:t>
      </w:r>
      <w:r w:rsidRPr="007B56CB">
        <w:rPr>
          <w:rFonts w:ascii="Arial" w:hAnsi="Arial" w:cs="Arial"/>
          <w:sz w:val="20"/>
          <w:szCs w:val="20"/>
        </w:rPr>
        <w:t xml:space="preserve"> the remuneration of the Board of Directors and the Supervisory Board in 2020</w:t>
      </w:r>
    </w:p>
    <w:p w:rsidR="00A11FAB" w:rsidRDefault="007F6E93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7B56CB" w:rsidRPr="007B56CB">
        <w:rPr>
          <w:rFonts w:ascii="Arial" w:hAnsi="Arial" w:cs="Arial"/>
          <w:sz w:val="20"/>
          <w:szCs w:val="20"/>
        </w:rPr>
        <w:t xml:space="preserve"> 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7B56CB" w:rsidRPr="007B56CB">
        <w:rPr>
          <w:rFonts w:ascii="Arial" w:hAnsi="Arial" w:cs="Arial"/>
          <w:sz w:val="20"/>
          <w:szCs w:val="20"/>
        </w:rPr>
        <w:t>Vinafood</w:t>
      </w:r>
      <w:proofErr w:type="spellEnd"/>
      <w:r w:rsidR="007B56CB" w:rsidRPr="007B56CB">
        <w:rPr>
          <w:rFonts w:ascii="Arial" w:hAnsi="Arial" w:cs="Arial"/>
          <w:sz w:val="20"/>
          <w:szCs w:val="20"/>
        </w:rPr>
        <w:t xml:space="preserve"> 1 Flour Joint Stock Company approved the settlement of remuneration of the Board of Directors and the Supervisory Board in 2</w:t>
      </w:r>
      <w:r w:rsidR="00A11FAB">
        <w:rPr>
          <w:rFonts w:ascii="Arial" w:hAnsi="Arial" w:cs="Arial"/>
          <w:sz w:val="20"/>
          <w:szCs w:val="20"/>
        </w:rPr>
        <w:t>019 and the remuneration plan for</w:t>
      </w:r>
      <w:r w:rsidR="007B56CB" w:rsidRPr="007B56CB">
        <w:rPr>
          <w:rFonts w:ascii="Arial" w:hAnsi="Arial" w:cs="Arial"/>
          <w:sz w:val="20"/>
          <w:szCs w:val="20"/>
        </w:rPr>
        <w:t xml:space="preserve"> the Board of Directors and the Supervisory Board in 2020 as follows: </w:t>
      </w:r>
    </w:p>
    <w:p w:rsidR="00A11FAB" w:rsidRDefault="007B56CB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6CB">
        <w:rPr>
          <w:rFonts w:ascii="Arial" w:hAnsi="Arial" w:cs="Arial"/>
          <w:sz w:val="20"/>
          <w:szCs w:val="20"/>
        </w:rPr>
        <w:t xml:space="preserve">1. Settlement </w:t>
      </w:r>
      <w:r w:rsidR="00A11FAB">
        <w:rPr>
          <w:rFonts w:ascii="Arial" w:hAnsi="Arial" w:cs="Arial"/>
          <w:sz w:val="20"/>
          <w:szCs w:val="20"/>
        </w:rPr>
        <w:t>of remuneration fund in 2019</w:t>
      </w:r>
      <w:r w:rsidRPr="007B56CB">
        <w:rPr>
          <w:rFonts w:ascii="Arial" w:hAnsi="Arial" w:cs="Arial"/>
          <w:sz w:val="20"/>
          <w:szCs w:val="20"/>
        </w:rPr>
        <w:t xml:space="preserve">: VND 40,800,000 </w:t>
      </w:r>
    </w:p>
    <w:p w:rsidR="00A11FAB" w:rsidRDefault="00A11FAB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7B56CB" w:rsidRPr="007B56CB">
        <w:rPr>
          <w:rFonts w:ascii="Arial" w:hAnsi="Arial" w:cs="Arial"/>
          <w:sz w:val="20"/>
          <w:szCs w:val="20"/>
        </w:rPr>
        <w:t xml:space="preserve"> which: Board of Directors: VND 24,000,000 </w:t>
      </w:r>
    </w:p>
    <w:p w:rsidR="00A11FAB" w:rsidRDefault="007B56CB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6CB">
        <w:rPr>
          <w:rFonts w:ascii="Arial" w:hAnsi="Arial" w:cs="Arial"/>
          <w:sz w:val="20"/>
          <w:szCs w:val="20"/>
        </w:rPr>
        <w:t xml:space="preserve">+ 01 Member of the Board of Directors </w:t>
      </w:r>
      <w:r w:rsidR="00A11FAB">
        <w:rPr>
          <w:rFonts w:ascii="Arial" w:hAnsi="Arial" w:cs="Arial"/>
          <w:sz w:val="20"/>
          <w:szCs w:val="20"/>
        </w:rPr>
        <w:t>does not receive remuneration</w:t>
      </w:r>
    </w:p>
    <w:p w:rsidR="007B56CB" w:rsidRDefault="007B56CB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56CB">
        <w:rPr>
          <w:rFonts w:ascii="Arial" w:hAnsi="Arial" w:cs="Arial"/>
          <w:sz w:val="20"/>
          <w:szCs w:val="20"/>
        </w:rPr>
        <w:t>+ Remuneration for members of the Board of Directors (02 people): VND 24,000,000 (mem</w:t>
      </w:r>
      <w:r w:rsidR="005277A7">
        <w:rPr>
          <w:rFonts w:ascii="Arial" w:hAnsi="Arial" w:cs="Arial"/>
          <w:sz w:val="20"/>
          <w:szCs w:val="20"/>
        </w:rPr>
        <w:t>ber of the Board of Directors:</w:t>
      </w:r>
      <w:r w:rsidRPr="007B56CB">
        <w:rPr>
          <w:rFonts w:ascii="Arial" w:hAnsi="Arial" w:cs="Arial"/>
          <w:sz w:val="20"/>
          <w:szCs w:val="20"/>
        </w:rPr>
        <w:t xml:space="preserve"> VND </w:t>
      </w:r>
      <w:r w:rsidR="005277A7">
        <w:rPr>
          <w:rFonts w:ascii="Arial" w:hAnsi="Arial" w:cs="Arial"/>
          <w:sz w:val="20"/>
          <w:szCs w:val="20"/>
        </w:rPr>
        <w:t xml:space="preserve">1 million/ person/ month, </w:t>
      </w:r>
      <w:r w:rsidRPr="007B56CB">
        <w:rPr>
          <w:rFonts w:ascii="Arial" w:hAnsi="Arial" w:cs="Arial"/>
          <w:sz w:val="20"/>
          <w:szCs w:val="20"/>
        </w:rPr>
        <w:t xml:space="preserve">full-time members of the </w:t>
      </w:r>
      <w:r w:rsidR="005277A7">
        <w:rPr>
          <w:rFonts w:ascii="Arial" w:hAnsi="Arial" w:cs="Arial"/>
          <w:sz w:val="20"/>
          <w:szCs w:val="20"/>
        </w:rPr>
        <w:t>Board of Directors</w:t>
      </w:r>
      <w:r w:rsidRPr="007B56CB">
        <w:rPr>
          <w:rFonts w:ascii="Arial" w:hAnsi="Arial" w:cs="Arial"/>
          <w:sz w:val="20"/>
          <w:szCs w:val="20"/>
        </w:rPr>
        <w:t xml:space="preserve"> are </w:t>
      </w:r>
      <w:r w:rsidR="004C7FF9">
        <w:rPr>
          <w:rFonts w:ascii="Arial" w:hAnsi="Arial" w:cs="Arial"/>
          <w:sz w:val="20"/>
          <w:szCs w:val="20"/>
        </w:rPr>
        <w:t xml:space="preserve">not entitled to remuneration)  </w:t>
      </w:r>
    </w:p>
    <w:p w:rsidR="004C7FF9" w:rsidRDefault="004C7FF9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7FF9">
        <w:rPr>
          <w:rFonts w:ascii="Arial" w:hAnsi="Arial" w:cs="Arial"/>
          <w:sz w:val="20"/>
          <w:szCs w:val="20"/>
        </w:rPr>
        <w:t xml:space="preserve">- Supervisory Board: </w:t>
      </w:r>
    </w:p>
    <w:p w:rsidR="001B582F" w:rsidRDefault="004C7FF9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7FF9">
        <w:rPr>
          <w:rFonts w:ascii="Arial" w:hAnsi="Arial" w:cs="Arial"/>
          <w:sz w:val="20"/>
          <w:szCs w:val="20"/>
        </w:rPr>
        <w:lastRenderedPageBreak/>
        <w:t>Remuneration of the Supervisory Boa</w:t>
      </w:r>
      <w:r>
        <w:rPr>
          <w:rFonts w:ascii="Arial" w:hAnsi="Arial" w:cs="Arial"/>
          <w:sz w:val="20"/>
          <w:szCs w:val="20"/>
        </w:rPr>
        <w:t>rd of the Company (02 people)</w:t>
      </w:r>
      <w:r w:rsidRPr="004C7FF9">
        <w:rPr>
          <w:rFonts w:ascii="Arial" w:hAnsi="Arial" w:cs="Arial"/>
          <w:sz w:val="20"/>
          <w:szCs w:val="20"/>
        </w:rPr>
        <w:t>: VND 16,800,000 (member of the Supervisory Boar</w:t>
      </w:r>
      <w:r>
        <w:rPr>
          <w:rFonts w:ascii="Arial" w:hAnsi="Arial" w:cs="Arial"/>
          <w:sz w:val="20"/>
          <w:szCs w:val="20"/>
        </w:rPr>
        <w:t>d:</w:t>
      </w:r>
      <w:r w:rsidRPr="004C7FF9">
        <w:rPr>
          <w:rFonts w:ascii="Arial" w:hAnsi="Arial" w:cs="Arial"/>
          <w:sz w:val="20"/>
          <w:szCs w:val="20"/>
        </w:rPr>
        <w:t xml:space="preserve"> VND 0.7 million</w:t>
      </w:r>
      <w:r>
        <w:rPr>
          <w:rFonts w:ascii="Arial" w:hAnsi="Arial" w:cs="Arial"/>
          <w:sz w:val="20"/>
          <w:szCs w:val="20"/>
        </w:rPr>
        <w:t>/ person</w:t>
      </w:r>
      <w:r w:rsidR="001B582F">
        <w:rPr>
          <w:rFonts w:ascii="Arial" w:hAnsi="Arial" w:cs="Arial"/>
          <w:sz w:val="20"/>
          <w:szCs w:val="20"/>
        </w:rPr>
        <w:t xml:space="preserve">/ month, </w:t>
      </w:r>
      <w:r w:rsidRPr="004C7FF9">
        <w:rPr>
          <w:rFonts w:ascii="Arial" w:hAnsi="Arial" w:cs="Arial"/>
          <w:sz w:val="20"/>
          <w:szCs w:val="20"/>
        </w:rPr>
        <w:t>full-time mem</w:t>
      </w:r>
      <w:r w:rsidR="001B582F">
        <w:rPr>
          <w:rFonts w:ascii="Arial" w:hAnsi="Arial" w:cs="Arial"/>
          <w:sz w:val="20"/>
          <w:szCs w:val="20"/>
        </w:rPr>
        <w:t>bers of the Supervisory Board are</w:t>
      </w:r>
      <w:r w:rsidRPr="004C7FF9">
        <w:rPr>
          <w:rFonts w:ascii="Arial" w:hAnsi="Arial" w:cs="Arial"/>
          <w:sz w:val="20"/>
          <w:szCs w:val="20"/>
        </w:rPr>
        <w:t xml:space="preserve"> not allowed </w:t>
      </w:r>
      <w:r w:rsidR="001B582F">
        <w:rPr>
          <w:rFonts w:ascii="Arial" w:hAnsi="Arial" w:cs="Arial"/>
          <w:sz w:val="20"/>
          <w:szCs w:val="20"/>
        </w:rPr>
        <w:t>to receive remuneration)</w:t>
      </w:r>
    </w:p>
    <w:p w:rsidR="001B582F" w:rsidRDefault="004C7FF9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7FF9">
        <w:rPr>
          <w:rFonts w:ascii="Arial" w:hAnsi="Arial" w:cs="Arial"/>
          <w:sz w:val="20"/>
          <w:szCs w:val="20"/>
        </w:rPr>
        <w:t>2. The remuneration plan for 2020 of the Board of Direct</w:t>
      </w:r>
      <w:r w:rsidR="001B582F">
        <w:rPr>
          <w:rFonts w:ascii="Arial" w:hAnsi="Arial" w:cs="Arial"/>
          <w:sz w:val="20"/>
          <w:szCs w:val="20"/>
        </w:rPr>
        <w:t>ors and the Supervisory Board</w:t>
      </w:r>
      <w:r w:rsidRPr="004C7FF9">
        <w:rPr>
          <w:rFonts w:ascii="Arial" w:hAnsi="Arial" w:cs="Arial"/>
          <w:sz w:val="20"/>
          <w:szCs w:val="20"/>
        </w:rPr>
        <w:t xml:space="preserve">: </w:t>
      </w:r>
    </w:p>
    <w:p w:rsidR="004529F8" w:rsidRDefault="004C7FF9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7FF9">
        <w:rPr>
          <w:rFonts w:ascii="Arial" w:hAnsi="Arial" w:cs="Arial"/>
          <w:sz w:val="20"/>
          <w:szCs w:val="20"/>
        </w:rPr>
        <w:t>The remuneration of the Board of Dire</w:t>
      </w:r>
      <w:r w:rsidR="001B582F">
        <w:rPr>
          <w:rFonts w:ascii="Arial" w:hAnsi="Arial" w:cs="Arial"/>
          <w:sz w:val="20"/>
          <w:szCs w:val="20"/>
        </w:rPr>
        <w:t>ctors of the Company</w:t>
      </w:r>
      <w:r w:rsidRPr="004C7FF9">
        <w:rPr>
          <w:rFonts w:ascii="Arial" w:hAnsi="Arial" w:cs="Arial"/>
          <w:sz w:val="20"/>
          <w:szCs w:val="20"/>
        </w:rPr>
        <w:t>: VND 36,000,000 (member</w:t>
      </w:r>
      <w:r w:rsidR="001B582F">
        <w:rPr>
          <w:rFonts w:ascii="Arial" w:hAnsi="Arial" w:cs="Arial"/>
          <w:sz w:val="20"/>
          <w:szCs w:val="20"/>
        </w:rPr>
        <w:t>s of the Board of Directors: VND 1 million/ person</w:t>
      </w:r>
      <w:r w:rsidRPr="004C7FF9">
        <w:rPr>
          <w:rFonts w:ascii="Arial" w:hAnsi="Arial" w:cs="Arial"/>
          <w:sz w:val="20"/>
          <w:szCs w:val="20"/>
        </w:rPr>
        <w:t xml:space="preserve">/ month, </w:t>
      </w:r>
      <w:r w:rsidR="001B582F">
        <w:rPr>
          <w:rFonts w:ascii="Arial" w:hAnsi="Arial" w:cs="Arial"/>
          <w:sz w:val="20"/>
          <w:szCs w:val="20"/>
        </w:rPr>
        <w:t>f</w:t>
      </w:r>
      <w:r w:rsidRPr="004C7FF9">
        <w:rPr>
          <w:rFonts w:ascii="Arial" w:hAnsi="Arial" w:cs="Arial"/>
          <w:sz w:val="20"/>
          <w:szCs w:val="20"/>
        </w:rPr>
        <w:t>ull-time</w:t>
      </w:r>
      <w:r w:rsidR="001B582F">
        <w:rPr>
          <w:rFonts w:ascii="Arial" w:hAnsi="Arial" w:cs="Arial"/>
          <w:sz w:val="20"/>
          <w:szCs w:val="20"/>
        </w:rPr>
        <w:t xml:space="preserve"> members of the Supervisory Board</w:t>
      </w:r>
      <w:r w:rsidRPr="004C7FF9">
        <w:rPr>
          <w:rFonts w:ascii="Arial" w:hAnsi="Arial" w:cs="Arial"/>
          <w:sz w:val="20"/>
          <w:szCs w:val="20"/>
        </w:rPr>
        <w:t xml:space="preserve"> are</w:t>
      </w:r>
      <w:r w:rsidR="004529F8">
        <w:rPr>
          <w:rFonts w:ascii="Arial" w:hAnsi="Arial" w:cs="Arial"/>
          <w:sz w:val="20"/>
          <w:szCs w:val="20"/>
        </w:rPr>
        <w:t xml:space="preserve"> not entitled to remuneration)</w:t>
      </w:r>
    </w:p>
    <w:p w:rsidR="00E467C9" w:rsidRDefault="004529F8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C7FF9" w:rsidRPr="004C7FF9">
        <w:rPr>
          <w:rFonts w:ascii="Arial" w:hAnsi="Arial" w:cs="Arial"/>
          <w:sz w:val="20"/>
          <w:szCs w:val="20"/>
        </w:rPr>
        <w:t xml:space="preserve"> Remuneration of the Sup</w:t>
      </w:r>
      <w:r>
        <w:rPr>
          <w:rFonts w:ascii="Arial" w:hAnsi="Arial" w:cs="Arial"/>
          <w:sz w:val="20"/>
          <w:szCs w:val="20"/>
        </w:rPr>
        <w:t>ervisory Board of the Company</w:t>
      </w:r>
      <w:r w:rsidR="004C7FF9" w:rsidRPr="004C7FF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VND 16,</w:t>
      </w:r>
      <w:r w:rsidR="004C7FF9" w:rsidRPr="004C7FF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00,000 </w:t>
      </w:r>
      <w:r w:rsidR="004C7FF9" w:rsidRPr="004C7FF9">
        <w:rPr>
          <w:rFonts w:ascii="Arial" w:hAnsi="Arial" w:cs="Arial"/>
          <w:sz w:val="20"/>
          <w:szCs w:val="20"/>
        </w:rPr>
        <w:t>(me</w:t>
      </w:r>
      <w:r w:rsidR="00E467C9">
        <w:rPr>
          <w:rFonts w:ascii="Arial" w:hAnsi="Arial" w:cs="Arial"/>
          <w:sz w:val="20"/>
          <w:szCs w:val="20"/>
        </w:rPr>
        <w:t>mber of the Supervisory Board: VND 0.7 million/ person/ month, full-time</w:t>
      </w:r>
      <w:r w:rsidR="004C7FF9" w:rsidRPr="004C7FF9">
        <w:rPr>
          <w:rFonts w:ascii="Arial" w:hAnsi="Arial" w:cs="Arial"/>
          <w:sz w:val="20"/>
          <w:szCs w:val="20"/>
        </w:rPr>
        <w:t xml:space="preserve"> members of the Supervisory Board are</w:t>
      </w:r>
      <w:r w:rsidR="00E467C9">
        <w:rPr>
          <w:rFonts w:ascii="Arial" w:hAnsi="Arial" w:cs="Arial"/>
          <w:sz w:val="20"/>
          <w:szCs w:val="20"/>
        </w:rPr>
        <w:t xml:space="preserve"> not entitled to remuneration)</w:t>
      </w:r>
    </w:p>
    <w:p w:rsidR="00E467C9" w:rsidRDefault="00E467C9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6. Approving the plan on</w:t>
      </w:r>
      <w:r w:rsidR="004C7FF9" w:rsidRPr="004C7FF9">
        <w:rPr>
          <w:rFonts w:ascii="Arial" w:hAnsi="Arial" w:cs="Arial"/>
          <w:sz w:val="20"/>
          <w:szCs w:val="20"/>
        </w:rPr>
        <w:t xml:space="preserve"> profit distribution of the Company as follows: </w:t>
      </w:r>
    </w:p>
    <w:p w:rsidR="004C7FF9" w:rsidRDefault="00E467C9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C7FF9" w:rsidRPr="004C7FF9">
        <w:rPr>
          <w:rFonts w:ascii="Arial" w:hAnsi="Arial" w:cs="Arial"/>
          <w:sz w:val="20"/>
          <w:szCs w:val="20"/>
        </w:rPr>
        <w:t xml:space="preserve">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4C7FF9" w:rsidRPr="004C7FF9">
        <w:rPr>
          <w:rFonts w:ascii="Arial" w:hAnsi="Arial" w:cs="Arial"/>
          <w:sz w:val="20"/>
          <w:szCs w:val="20"/>
        </w:rPr>
        <w:t>Vinafood</w:t>
      </w:r>
      <w:proofErr w:type="spellEnd"/>
      <w:r w:rsidR="004C7FF9" w:rsidRPr="004C7FF9">
        <w:rPr>
          <w:rFonts w:ascii="Arial" w:hAnsi="Arial" w:cs="Arial"/>
          <w:sz w:val="20"/>
          <w:szCs w:val="20"/>
        </w:rPr>
        <w:t xml:space="preserve"> 1 Flour Joint Stock Company approved the profit distribution plan of the Company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7A7AB7" w:rsidTr="007A7AB7">
        <w:tc>
          <w:tcPr>
            <w:tcW w:w="558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26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192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7A7AB7" w:rsidTr="007A7AB7">
        <w:tc>
          <w:tcPr>
            <w:tcW w:w="558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6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3192" w:type="dxa"/>
          </w:tcPr>
          <w:p w:rsidR="007A7AB7" w:rsidRDefault="004154EB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2,488,188,708</w:t>
            </w:r>
          </w:p>
        </w:tc>
      </w:tr>
      <w:tr w:rsidR="007A7AB7" w:rsidTr="007A7AB7">
        <w:tc>
          <w:tcPr>
            <w:tcW w:w="558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26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3192" w:type="dxa"/>
          </w:tcPr>
          <w:p w:rsidR="007A7AB7" w:rsidRDefault="004154EB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910,217,0</w:t>
            </w:r>
            <w:r w:rsidR="006F34CB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7AB7" w:rsidTr="007A7AB7">
        <w:tc>
          <w:tcPr>
            <w:tcW w:w="558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26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  <w:r w:rsidR="003B3830">
              <w:rPr>
                <w:rFonts w:ascii="Arial" w:hAnsi="Arial" w:cs="Arial"/>
                <w:sz w:val="20"/>
                <w:szCs w:val="20"/>
              </w:rPr>
              <w:t>(3 = 1 – 2)</w:t>
            </w:r>
          </w:p>
        </w:tc>
        <w:tc>
          <w:tcPr>
            <w:tcW w:w="3192" w:type="dxa"/>
          </w:tcPr>
          <w:p w:rsidR="007A7AB7" w:rsidRDefault="004154EB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1,577,971,645</w:t>
            </w:r>
          </w:p>
        </w:tc>
      </w:tr>
      <w:tr w:rsidR="007A7AB7" w:rsidTr="007A7AB7">
        <w:tc>
          <w:tcPr>
            <w:tcW w:w="558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26" w:type="dxa"/>
          </w:tcPr>
          <w:p w:rsidR="007A7AB7" w:rsidRDefault="00F52823" w:rsidP="00F52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B3830">
              <w:rPr>
                <w:rFonts w:ascii="Arial" w:hAnsi="Arial" w:cs="Arial"/>
                <w:sz w:val="20"/>
                <w:szCs w:val="20"/>
              </w:rPr>
              <w:t xml:space="preserve">ndistributed profit after tax </w:t>
            </w:r>
            <w:r>
              <w:rPr>
                <w:rFonts w:ascii="Arial" w:hAnsi="Arial" w:cs="Arial"/>
                <w:sz w:val="20"/>
                <w:szCs w:val="20"/>
              </w:rPr>
              <w:t xml:space="preserve">accumulated until the end of previous period </w:t>
            </w:r>
            <w:r w:rsidR="003B3830">
              <w:rPr>
                <w:rFonts w:ascii="Arial" w:hAnsi="Arial" w:cs="Arial"/>
                <w:sz w:val="20"/>
                <w:szCs w:val="20"/>
              </w:rPr>
              <w:t>carried over</w:t>
            </w:r>
          </w:p>
        </w:tc>
        <w:tc>
          <w:tcPr>
            <w:tcW w:w="3192" w:type="dxa"/>
          </w:tcPr>
          <w:p w:rsidR="007A7AB7" w:rsidRDefault="004154EB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96,281,806</w:t>
            </w:r>
          </w:p>
        </w:tc>
      </w:tr>
      <w:tr w:rsidR="007A7AB7" w:rsidTr="007A7AB7">
        <w:tc>
          <w:tcPr>
            <w:tcW w:w="558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26" w:type="dxa"/>
          </w:tcPr>
          <w:p w:rsidR="007A7AB7" w:rsidRDefault="00F52823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Undistributed profit after tax accumulated until the end of this period (5 = 3 + 4)</w:t>
            </w:r>
          </w:p>
        </w:tc>
        <w:tc>
          <w:tcPr>
            <w:tcW w:w="3192" w:type="dxa"/>
          </w:tcPr>
          <w:p w:rsidR="007A7AB7" w:rsidRDefault="004154EB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1,674,253,451</w:t>
            </w:r>
          </w:p>
        </w:tc>
      </w:tr>
      <w:tr w:rsidR="007A7AB7" w:rsidTr="007A7AB7">
        <w:tc>
          <w:tcPr>
            <w:tcW w:w="558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:rsidR="007A7AB7" w:rsidRDefault="00F52823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Welfare Reward Fund (5%)</w:t>
            </w:r>
          </w:p>
        </w:tc>
        <w:tc>
          <w:tcPr>
            <w:tcW w:w="3192" w:type="dxa"/>
          </w:tcPr>
          <w:p w:rsidR="007A7AB7" w:rsidRDefault="004154EB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93,253,451</w:t>
            </w:r>
          </w:p>
        </w:tc>
      </w:tr>
      <w:tr w:rsidR="007A7AB7" w:rsidTr="007A7AB7">
        <w:tc>
          <w:tcPr>
            <w:tcW w:w="558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:rsidR="007A7AB7" w:rsidRDefault="00F52823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Investment Development Fund (25%)</w:t>
            </w:r>
          </w:p>
        </w:tc>
        <w:tc>
          <w:tcPr>
            <w:tcW w:w="3192" w:type="dxa"/>
          </w:tcPr>
          <w:p w:rsidR="007A7AB7" w:rsidRDefault="004154EB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420,000,000</w:t>
            </w:r>
          </w:p>
        </w:tc>
      </w:tr>
      <w:tr w:rsidR="007A7AB7" w:rsidTr="007A7AB7">
        <w:tc>
          <w:tcPr>
            <w:tcW w:w="558" w:type="dxa"/>
          </w:tcPr>
          <w:p w:rsidR="007A7AB7" w:rsidRDefault="007A7AB7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</w:tcPr>
          <w:p w:rsidR="007A7AB7" w:rsidRDefault="00F52823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Dividend payment (70% of profit after tax, VND 48/ share)</w:t>
            </w:r>
          </w:p>
        </w:tc>
        <w:tc>
          <w:tcPr>
            <w:tcW w:w="3192" w:type="dxa"/>
          </w:tcPr>
          <w:p w:rsidR="007A7AB7" w:rsidRDefault="004154EB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1,161,000,000</w:t>
            </w:r>
          </w:p>
        </w:tc>
      </w:tr>
      <w:tr w:rsidR="007A7AB7" w:rsidTr="007A7AB7">
        <w:tc>
          <w:tcPr>
            <w:tcW w:w="558" w:type="dxa"/>
          </w:tcPr>
          <w:p w:rsidR="007A7AB7" w:rsidRDefault="00F52823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26" w:type="dxa"/>
          </w:tcPr>
          <w:p w:rsidR="007A7AB7" w:rsidRDefault="00F52823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Retained profit </w:t>
            </w:r>
            <w:r w:rsidR="004154EB">
              <w:rPr>
                <w:rFonts w:ascii="Arial" w:hAnsi="Arial" w:cs="Arial"/>
                <w:sz w:val="20"/>
                <w:szCs w:val="20"/>
              </w:rPr>
              <w:t>for 2020</w:t>
            </w:r>
          </w:p>
        </w:tc>
        <w:tc>
          <w:tcPr>
            <w:tcW w:w="3192" w:type="dxa"/>
          </w:tcPr>
          <w:p w:rsidR="007A7AB7" w:rsidRDefault="004154EB" w:rsidP="009216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467C9" w:rsidRDefault="00E467C9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0E30" w:rsidRDefault="00560E30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7: </w:t>
      </w:r>
      <w:r w:rsidR="00935C5F" w:rsidRPr="00935C5F">
        <w:rPr>
          <w:rFonts w:ascii="Arial" w:hAnsi="Arial" w:cs="Arial"/>
          <w:sz w:val="20"/>
          <w:szCs w:val="20"/>
        </w:rPr>
        <w:t xml:space="preserve">Approving the Statement on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="00935C5F" w:rsidRPr="00935C5F">
        <w:rPr>
          <w:rFonts w:ascii="Arial" w:hAnsi="Arial" w:cs="Arial"/>
          <w:sz w:val="20"/>
          <w:szCs w:val="20"/>
        </w:rPr>
        <w:t>auditing</w:t>
      </w:r>
      <w:r>
        <w:rPr>
          <w:rFonts w:ascii="Arial" w:hAnsi="Arial" w:cs="Arial"/>
          <w:sz w:val="20"/>
          <w:szCs w:val="20"/>
        </w:rPr>
        <w:t xml:space="preserve"> unit for</w:t>
      </w:r>
      <w:r w:rsidR="00935C5F" w:rsidRPr="00935C5F">
        <w:rPr>
          <w:rFonts w:ascii="Arial" w:hAnsi="Arial" w:cs="Arial"/>
          <w:sz w:val="20"/>
          <w:szCs w:val="20"/>
        </w:rPr>
        <w:t xml:space="preserve"> financia</w:t>
      </w:r>
      <w:r>
        <w:rPr>
          <w:rFonts w:ascii="Arial" w:hAnsi="Arial" w:cs="Arial"/>
          <w:sz w:val="20"/>
          <w:szCs w:val="20"/>
        </w:rPr>
        <w:t>l statement of</w:t>
      </w:r>
      <w:r w:rsidR="00935C5F" w:rsidRPr="00935C5F">
        <w:rPr>
          <w:rFonts w:ascii="Arial" w:hAnsi="Arial" w:cs="Arial"/>
          <w:sz w:val="20"/>
          <w:szCs w:val="20"/>
        </w:rPr>
        <w:t xml:space="preserve"> 2020  </w:t>
      </w:r>
    </w:p>
    <w:p w:rsidR="00560E30" w:rsidRDefault="00560E30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35C5F" w:rsidRPr="00935C5F">
        <w:rPr>
          <w:rFonts w:ascii="Arial" w:hAnsi="Arial" w:cs="Arial"/>
          <w:sz w:val="20"/>
          <w:szCs w:val="20"/>
        </w:rPr>
        <w:t xml:space="preserve">Annual General Meeting of Shareholders in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935C5F" w:rsidRPr="00935C5F">
        <w:rPr>
          <w:rFonts w:ascii="Arial" w:hAnsi="Arial" w:cs="Arial"/>
          <w:sz w:val="20"/>
          <w:szCs w:val="20"/>
        </w:rPr>
        <w:t>Vinafood</w:t>
      </w:r>
      <w:proofErr w:type="spellEnd"/>
      <w:r w:rsidR="00935C5F" w:rsidRPr="00935C5F">
        <w:rPr>
          <w:rFonts w:ascii="Arial" w:hAnsi="Arial" w:cs="Arial"/>
          <w:sz w:val="20"/>
          <w:szCs w:val="20"/>
        </w:rPr>
        <w:t xml:space="preserve"> 1 Flour Joint Stock Company </w:t>
      </w:r>
      <w:r>
        <w:rPr>
          <w:rFonts w:ascii="Arial" w:hAnsi="Arial" w:cs="Arial"/>
          <w:sz w:val="20"/>
          <w:szCs w:val="20"/>
        </w:rPr>
        <w:t>approved the Proposal on</w:t>
      </w:r>
      <w:r w:rsidR="00935C5F" w:rsidRPr="00935C5F">
        <w:rPr>
          <w:rFonts w:ascii="Arial" w:hAnsi="Arial" w:cs="Arial"/>
          <w:sz w:val="20"/>
          <w:szCs w:val="20"/>
        </w:rPr>
        <w:t xml:space="preserve"> select</w:t>
      </w:r>
      <w:r>
        <w:rPr>
          <w:rFonts w:ascii="Arial" w:hAnsi="Arial" w:cs="Arial"/>
          <w:sz w:val="20"/>
          <w:szCs w:val="20"/>
        </w:rPr>
        <w:t>ing an auditing unit to audit the financial statement of</w:t>
      </w:r>
      <w:r w:rsidR="00935C5F" w:rsidRPr="00935C5F">
        <w:rPr>
          <w:rFonts w:ascii="Arial" w:hAnsi="Arial" w:cs="Arial"/>
          <w:sz w:val="20"/>
          <w:szCs w:val="20"/>
        </w:rPr>
        <w:t xml:space="preserve"> 2020 as follows: </w:t>
      </w:r>
    </w:p>
    <w:p w:rsidR="00325534" w:rsidRDefault="00560E30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Using the financial statement</w:t>
      </w:r>
      <w:r w:rsidR="00935C5F" w:rsidRPr="00935C5F">
        <w:rPr>
          <w:rFonts w:ascii="Arial" w:hAnsi="Arial" w:cs="Arial"/>
          <w:sz w:val="20"/>
          <w:szCs w:val="20"/>
        </w:rPr>
        <w:t xml:space="preserve"> audited by </w:t>
      </w:r>
      <w:r>
        <w:rPr>
          <w:rFonts w:ascii="Arial" w:hAnsi="Arial" w:cs="Arial"/>
          <w:sz w:val="20"/>
          <w:szCs w:val="20"/>
        </w:rPr>
        <w:t>the</w:t>
      </w:r>
      <w:r w:rsidR="00935C5F" w:rsidRPr="00935C5F">
        <w:rPr>
          <w:rFonts w:ascii="Arial" w:hAnsi="Arial" w:cs="Arial"/>
          <w:sz w:val="20"/>
          <w:szCs w:val="20"/>
        </w:rPr>
        <w:t xml:space="preserve"> audit</w:t>
      </w:r>
      <w:r>
        <w:rPr>
          <w:rFonts w:ascii="Arial" w:hAnsi="Arial" w:cs="Arial"/>
          <w:sz w:val="20"/>
          <w:szCs w:val="20"/>
        </w:rPr>
        <w:t>ing firm</w:t>
      </w:r>
      <w:r w:rsidR="00935C5F" w:rsidRPr="00935C5F">
        <w:rPr>
          <w:rFonts w:ascii="Arial" w:hAnsi="Arial" w:cs="Arial"/>
          <w:sz w:val="20"/>
          <w:szCs w:val="20"/>
        </w:rPr>
        <w:t xml:space="preserve"> selected by the Corporation </w:t>
      </w:r>
    </w:p>
    <w:p w:rsidR="00325534" w:rsidRDefault="00935C5F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C5F">
        <w:rPr>
          <w:rFonts w:ascii="Arial" w:hAnsi="Arial" w:cs="Arial"/>
          <w:sz w:val="20"/>
          <w:szCs w:val="20"/>
        </w:rPr>
        <w:t>2. Authorize the</w:t>
      </w:r>
      <w:r w:rsidR="00325534">
        <w:rPr>
          <w:rFonts w:ascii="Arial" w:hAnsi="Arial" w:cs="Arial"/>
          <w:sz w:val="20"/>
          <w:szCs w:val="20"/>
        </w:rPr>
        <w:t xml:space="preserve"> Board of Directors to decide</w:t>
      </w:r>
      <w:r w:rsidRPr="00935C5F">
        <w:rPr>
          <w:rFonts w:ascii="Arial" w:hAnsi="Arial" w:cs="Arial"/>
          <w:sz w:val="20"/>
          <w:szCs w:val="20"/>
        </w:rPr>
        <w:t xml:space="preserve"> the selection of a qualified auditing unit to review </w:t>
      </w:r>
      <w:r w:rsidR="00325534">
        <w:rPr>
          <w:rFonts w:ascii="Arial" w:hAnsi="Arial" w:cs="Arial"/>
          <w:sz w:val="20"/>
          <w:szCs w:val="20"/>
        </w:rPr>
        <w:t>the semi-annual financial statement</w:t>
      </w:r>
      <w:r w:rsidRPr="00935C5F">
        <w:rPr>
          <w:rFonts w:ascii="Arial" w:hAnsi="Arial" w:cs="Arial"/>
          <w:sz w:val="20"/>
          <w:szCs w:val="20"/>
        </w:rPr>
        <w:t xml:space="preserve"> i</w:t>
      </w:r>
      <w:r w:rsidR="00325534">
        <w:rPr>
          <w:rFonts w:ascii="Arial" w:hAnsi="Arial" w:cs="Arial"/>
          <w:sz w:val="20"/>
          <w:szCs w:val="20"/>
        </w:rPr>
        <w:t>n accordance with regulations</w:t>
      </w:r>
    </w:p>
    <w:p w:rsidR="00043956" w:rsidRDefault="00935C5F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C5F">
        <w:rPr>
          <w:rFonts w:ascii="Arial" w:hAnsi="Arial" w:cs="Arial"/>
          <w:sz w:val="20"/>
          <w:szCs w:val="20"/>
        </w:rPr>
        <w:lastRenderedPageBreak/>
        <w:t>- The Annual General Meeting of Shareholders in 2020</w:t>
      </w:r>
      <w:r w:rsidR="00325534">
        <w:rPr>
          <w:rFonts w:ascii="Arial" w:hAnsi="Arial" w:cs="Arial"/>
          <w:sz w:val="20"/>
          <w:szCs w:val="20"/>
        </w:rPr>
        <w:t xml:space="preserve"> of</w:t>
      </w:r>
      <w:r w:rsidRPr="00935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C5F">
        <w:rPr>
          <w:rFonts w:ascii="Arial" w:hAnsi="Arial" w:cs="Arial"/>
          <w:sz w:val="20"/>
          <w:szCs w:val="20"/>
        </w:rPr>
        <w:t>Vinafood</w:t>
      </w:r>
      <w:proofErr w:type="spellEnd"/>
      <w:r w:rsidRPr="00935C5F">
        <w:rPr>
          <w:rFonts w:ascii="Arial" w:hAnsi="Arial" w:cs="Arial"/>
          <w:sz w:val="20"/>
          <w:szCs w:val="20"/>
        </w:rPr>
        <w:t xml:space="preserve"> 1 Flour Joint Stock Company approved the personnel work as follows: </w:t>
      </w:r>
    </w:p>
    <w:p w:rsidR="003666CF" w:rsidRDefault="00043956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Dismissal of member of</w:t>
      </w:r>
      <w:r w:rsidR="00935C5F" w:rsidRPr="00935C5F">
        <w:rPr>
          <w:rFonts w:ascii="Arial" w:hAnsi="Arial" w:cs="Arial"/>
          <w:sz w:val="20"/>
          <w:szCs w:val="20"/>
        </w:rPr>
        <w:t xml:space="preserve"> the Board of Directors of </w:t>
      </w:r>
      <w:proofErr w:type="spellStart"/>
      <w:r w:rsidR="00935C5F" w:rsidRPr="00935C5F">
        <w:rPr>
          <w:rFonts w:ascii="Arial" w:hAnsi="Arial" w:cs="Arial"/>
          <w:sz w:val="20"/>
          <w:szCs w:val="20"/>
        </w:rPr>
        <w:t>Vinafood</w:t>
      </w:r>
      <w:proofErr w:type="spellEnd"/>
      <w:r w:rsidR="00935C5F" w:rsidRPr="00935C5F">
        <w:rPr>
          <w:rFonts w:ascii="Arial" w:hAnsi="Arial" w:cs="Arial"/>
          <w:sz w:val="20"/>
          <w:szCs w:val="20"/>
        </w:rPr>
        <w:t xml:space="preserve"> 1 Flour Joint Stock Company for the term of 2017-2022  and relinquishing the position of Deputy Director of </w:t>
      </w:r>
      <w:proofErr w:type="spellStart"/>
      <w:r w:rsidR="00935C5F" w:rsidRPr="00935C5F">
        <w:rPr>
          <w:rFonts w:ascii="Arial" w:hAnsi="Arial" w:cs="Arial"/>
          <w:sz w:val="20"/>
          <w:szCs w:val="20"/>
        </w:rPr>
        <w:t>Vinafood</w:t>
      </w:r>
      <w:proofErr w:type="spellEnd"/>
      <w:r w:rsidR="00935C5F" w:rsidRPr="00935C5F">
        <w:rPr>
          <w:rFonts w:ascii="Arial" w:hAnsi="Arial" w:cs="Arial"/>
          <w:sz w:val="20"/>
          <w:szCs w:val="20"/>
        </w:rPr>
        <w:t xml:space="preserve"> 1 Flour Joint Stock Company </w:t>
      </w:r>
      <w:r w:rsidR="003666CF">
        <w:rPr>
          <w:rFonts w:ascii="Arial" w:hAnsi="Arial" w:cs="Arial"/>
          <w:sz w:val="20"/>
          <w:szCs w:val="20"/>
        </w:rPr>
        <w:t xml:space="preserve">for </w:t>
      </w:r>
      <w:r w:rsidR="00935C5F" w:rsidRPr="00935C5F">
        <w:rPr>
          <w:rFonts w:ascii="Arial" w:hAnsi="Arial" w:cs="Arial"/>
          <w:sz w:val="20"/>
          <w:szCs w:val="20"/>
        </w:rPr>
        <w:t>Ms. Ngo Thi Bich Anh</w:t>
      </w:r>
    </w:p>
    <w:p w:rsidR="003666CF" w:rsidRDefault="003666CF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</w:t>
      </w:r>
      <w:r w:rsidR="00935C5F" w:rsidRPr="00935C5F">
        <w:rPr>
          <w:rFonts w:ascii="Arial" w:hAnsi="Arial" w:cs="Arial"/>
          <w:sz w:val="20"/>
          <w:szCs w:val="20"/>
        </w:rPr>
        <w:t xml:space="preserve"> Implementation </w:t>
      </w:r>
    </w:p>
    <w:p w:rsidR="00936F67" w:rsidRDefault="00935C5F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C5F">
        <w:rPr>
          <w:rFonts w:ascii="Arial" w:hAnsi="Arial" w:cs="Arial"/>
          <w:sz w:val="20"/>
          <w:szCs w:val="20"/>
        </w:rPr>
        <w:t xml:space="preserve">This </w:t>
      </w:r>
      <w:r w:rsidR="003666CF">
        <w:rPr>
          <w:rFonts w:ascii="Arial" w:hAnsi="Arial" w:cs="Arial"/>
          <w:sz w:val="20"/>
          <w:szCs w:val="20"/>
        </w:rPr>
        <w:t>annual General Mandate</w:t>
      </w:r>
      <w:r w:rsidRPr="00935C5F">
        <w:rPr>
          <w:rFonts w:ascii="Arial" w:hAnsi="Arial" w:cs="Arial"/>
          <w:sz w:val="20"/>
          <w:szCs w:val="20"/>
        </w:rPr>
        <w:t xml:space="preserve"> takes effect from the date of </w:t>
      </w:r>
      <w:r w:rsidR="003666CF">
        <w:rPr>
          <w:rFonts w:ascii="Arial" w:hAnsi="Arial" w:cs="Arial"/>
          <w:sz w:val="20"/>
          <w:szCs w:val="20"/>
        </w:rPr>
        <w:t>signing.</w:t>
      </w:r>
      <w:r w:rsidRPr="00935C5F">
        <w:rPr>
          <w:rFonts w:ascii="Arial" w:hAnsi="Arial" w:cs="Arial"/>
          <w:sz w:val="20"/>
          <w:szCs w:val="20"/>
        </w:rPr>
        <w:t xml:space="preserve"> The Board of Directors, Supervisory Board and </w:t>
      </w:r>
      <w:r w:rsidR="003666CF">
        <w:rPr>
          <w:rFonts w:ascii="Arial" w:hAnsi="Arial" w:cs="Arial"/>
          <w:sz w:val="20"/>
          <w:szCs w:val="20"/>
        </w:rPr>
        <w:t>Management Board</w:t>
      </w:r>
      <w:r w:rsidRPr="00935C5F">
        <w:rPr>
          <w:rFonts w:ascii="Arial" w:hAnsi="Arial" w:cs="Arial"/>
          <w:sz w:val="20"/>
          <w:szCs w:val="20"/>
        </w:rPr>
        <w:t xml:space="preserve"> of the Company are responsible for the implementation of this </w:t>
      </w:r>
      <w:r w:rsidR="00936F67">
        <w:rPr>
          <w:rFonts w:ascii="Arial" w:hAnsi="Arial" w:cs="Arial"/>
          <w:sz w:val="20"/>
          <w:szCs w:val="20"/>
        </w:rPr>
        <w:t>annual General Mandate</w:t>
      </w:r>
    </w:p>
    <w:p w:rsidR="00935C5F" w:rsidRDefault="00935C5F" w:rsidP="009216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5C5F">
        <w:rPr>
          <w:rFonts w:ascii="Arial" w:hAnsi="Arial" w:cs="Arial"/>
          <w:sz w:val="20"/>
          <w:szCs w:val="20"/>
        </w:rPr>
        <w:t xml:space="preserve">This </w:t>
      </w:r>
      <w:r w:rsidR="00936F67">
        <w:rPr>
          <w:rFonts w:ascii="Arial" w:hAnsi="Arial" w:cs="Arial"/>
          <w:sz w:val="20"/>
          <w:szCs w:val="20"/>
        </w:rPr>
        <w:t xml:space="preserve">annual General Mandate </w:t>
      </w:r>
      <w:r w:rsidRPr="00935C5F">
        <w:rPr>
          <w:rFonts w:ascii="Arial" w:hAnsi="Arial" w:cs="Arial"/>
          <w:sz w:val="20"/>
          <w:szCs w:val="20"/>
        </w:rPr>
        <w:t xml:space="preserve">consists of 04 pages, prepared and approved at the Annual General Meeting of Shareholders of </w:t>
      </w:r>
      <w:proofErr w:type="spellStart"/>
      <w:r w:rsidRPr="00935C5F">
        <w:rPr>
          <w:rFonts w:ascii="Arial" w:hAnsi="Arial" w:cs="Arial"/>
          <w:sz w:val="20"/>
          <w:szCs w:val="20"/>
        </w:rPr>
        <w:t>Vinafood</w:t>
      </w:r>
      <w:proofErr w:type="spellEnd"/>
      <w:r w:rsidRPr="00935C5F">
        <w:rPr>
          <w:rFonts w:ascii="Arial" w:hAnsi="Arial" w:cs="Arial"/>
          <w:sz w:val="20"/>
          <w:szCs w:val="20"/>
        </w:rPr>
        <w:t xml:space="preserve"> 1 Flour Joint Stock Company with the approval rate of 100% of the voting shares </w:t>
      </w:r>
    </w:p>
    <w:p w:rsidR="00921672" w:rsidRDefault="009216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21672" w:rsidSect="00B146B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43956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93EEB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75BD4"/>
    <w:rsid w:val="00183E6D"/>
    <w:rsid w:val="00185E8C"/>
    <w:rsid w:val="00191F14"/>
    <w:rsid w:val="001937B4"/>
    <w:rsid w:val="00194B6D"/>
    <w:rsid w:val="001B582F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A7EA7"/>
    <w:rsid w:val="002B42CC"/>
    <w:rsid w:val="002C36A5"/>
    <w:rsid w:val="002D481A"/>
    <w:rsid w:val="002D4939"/>
    <w:rsid w:val="002D53EE"/>
    <w:rsid w:val="002E2CF5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534"/>
    <w:rsid w:val="00327CF7"/>
    <w:rsid w:val="0033774A"/>
    <w:rsid w:val="00341204"/>
    <w:rsid w:val="00353428"/>
    <w:rsid w:val="003566CA"/>
    <w:rsid w:val="003608E8"/>
    <w:rsid w:val="003666CF"/>
    <w:rsid w:val="00367043"/>
    <w:rsid w:val="0037607E"/>
    <w:rsid w:val="00387318"/>
    <w:rsid w:val="00394778"/>
    <w:rsid w:val="00397004"/>
    <w:rsid w:val="003A0ECB"/>
    <w:rsid w:val="003A5CE9"/>
    <w:rsid w:val="003B3830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154EB"/>
    <w:rsid w:val="00420169"/>
    <w:rsid w:val="0042783A"/>
    <w:rsid w:val="0043345C"/>
    <w:rsid w:val="00434040"/>
    <w:rsid w:val="00435CE3"/>
    <w:rsid w:val="00442646"/>
    <w:rsid w:val="00442F77"/>
    <w:rsid w:val="004529F8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C7FF9"/>
    <w:rsid w:val="004E4C16"/>
    <w:rsid w:val="00503DD6"/>
    <w:rsid w:val="00505065"/>
    <w:rsid w:val="0052379D"/>
    <w:rsid w:val="0052508C"/>
    <w:rsid w:val="0052657B"/>
    <w:rsid w:val="005277A7"/>
    <w:rsid w:val="0053093D"/>
    <w:rsid w:val="005324AB"/>
    <w:rsid w:val="005327C7"/>
    <w:rsid w:val="005342CF"/>
    <w:rsid w:val="0055067A"/>
    <w:rsid w:val="00551A83"/>
    <w:rsid w:val="00560E30"/>
    <w:rsid w:val="005610CB"/>
    <w:rsid w:val="00563ACE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16C6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B6759"/>
    <w:rsid w:val="006C508D"/>
    <w:rsid w:val="006D01D8"/>
    <w:rsid w:val="006D683C"/>
    <w:rsid w:val="006E15A6"/>
    <w:rsid w:val="006E23FD"/>
    <w:rsid w:val="006E5E99"/>
    <w:rsid w:val="006F34CB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8C1"/>
    <w:rsid w:val="00766104"/>
    <w:rsid w:val="00772054"/>
    <w:rsid w:val="0077456B"/>
    <w:rsid w:val="0077554C"/>
    <w:rsid w:val="00781EB4"/>
    <w:rsid w:val="0078221E"/>
    <w:rsid w:val="00795480"/>
    <w:rsid w:val="007977CD"/>
    <w:rsid w:val="007A072F"/>
    <w:rsid w:val="007A0E8F"/>
    <w:rsid w:val="007A1E77"/>
    <w:rsid w:val="007A1FCC"/>
    <w:rsid w:val="007A7AB7"/>
    <w:rsid w:val="007B07E7"/>
    <w:rsid w:val="007B3E94"/>
    <w:rsid w:val="007B558D"/>
    <w:rsid w:val="007B56CB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6E93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0E98"/>
    <w:rsid w:val="008C33A0"/>
    <w:rsid w:val="008C46CA"/>
    <w:rsid w:val="008C7A42"/>
    <w:rsid w:val="008D12EB"/>
    <w:rsid w:val="008F1C6C"/>
    <w:rsid w:val="00912FBD"/>
    <w:rsid w:val="00921672"/>
    <w:rsid w:val="009232CB"/>
    <w:rsid w:val="00923467"/>
    <w:rsid w:val="00934FC0"/>
    <w:rsid w:val="00935C5F"/>
    <w:rsid w:val="00936F67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3021"/>
    <w:rsid w:val="0099040A"/>
    <w:rsid w:val="009915BB"/>
    <w:rsid w:val="009A6F47"/>
    <w:rsid w:val="009C28F2"/>
    <w:rsid w:val="009D1B7D"/>
    <w:rsid w:val="009D598E"/>
    <w:rsid w:val="009E1744"/>
    <w:rsid w:val="009E4AC5"/>
    <w:rsid w:val="009F2709"/>
    <w:rsid w:val="00A050AA"/>
    <w:rsid w:val="00A06443"/>
    <w:rsid w:val="00A06521"/>
    <w:rsid w:val="00A11FAB"/>
    <w:rsid w:val="00A128FC"/>
    <w:rsid w:val="00A13476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146B8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E6936"/>
    <w:rsid w:val="00BF0485"/>
    <w:rsid w:val="00BF3143"/>
    <w:rsid w:val="00C02348"/>
    <w:rsid w:val="00C220E2"/>
    <w:rsid w:val="00C2280B"/>
    <w:rsid w:val="00C22B12"/>
    <w:rsid w:val="00C26F1A"/>
    <w:rsid w:val="00C32F3A"/>
    <w:rsid w:val="00C338D7"/>
    <w:rsid w:val="00C33F82"/>
    <w:rsid w:val="00C36031"/>
    <w:rsid w:val="00C40291"/>
    <w:rsid w:val="00C57CB9"/>
    <w:rsid w:val="00C6187F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67C9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2CFF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52823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A89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322</cp:revision>
  <dcterms:created xsi:type="dcterms:W3CDTF">2019-10-16T10:03:00Z</dcterms:created>
  <dcterms:modified xsi:type="dcterms:W3CDTF">2020-06-09T06:39:00Z</dcterms:modified>
</cp:coreProperties>
</file>